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22" w:rsidRPr="00635D67" w:rsidRDefault="006F1B22" w:rsidP="006F1B22">
      <w:pPr>
        <w:pStyle w:val="text-align-justify"/>
        <w:bidi/>
        <w:jc w:val="both"/>
        <w:rPr>
          <w:rFonts w:cs="B Titr"/>
          <w:color w:val="800000"/>
        </w:rPr>
      </w:pPr>
      <w:r w:rsidRPr="00635D67">
        <w:rPr>
          <w:rStyle w:val="Strong"/>
          <w:rFonts w:cs="B Titr"/>
          <w:color w:val="800000"/>
          <w:rtl/>
        </w:rPr>
        <w:t>شرح وظایف</w:t>
      </w:r>
      <w:r w:rsidRPr="00635D67">
        <w:rPr>
          <w:rStyle w:val="Strong"/>
          <w:rFonts w:cs="B Titr"/>
          <w:color w:val="800000"/>
        </w:rPr>
        <w:t>: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هدايت، هماهنگي، اجراء و نظارت بر تدوين و بازنگري برنامه هاي آموزشي با تاكيد بر پاسخگو بودن آنها به نيازهاي سلامت جامعه تحت پوشش دانشگاه در محدوده اختيارات دانشگاه ، مطابق با ضوابط شوراي عالي برنامه ريزي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 xml:space="preserve">سازماندهي، برنامه ريزي </w:t>
      </w:r>
      <w:r w:rsidRPr="006F1B22">
        <w:rPr>
          <w:rFonts w:ascii="Cambria" w:hAnsi="Cambria" w:cs="Cambria" w:hint="cs"/>
          <w:color w:val="000000" w:themeColor="text1"/>
          <w:sz w:val="22"/>
          <w:szCs w:val="22"/>
          <w:rtl/>
        </w:rPr>
        <w:t> </w:t>
      </w:r>
      <w:r w:rsidRPr="006F1B22">
        <w:rPr>
          <w:rFonts w:cs="B Nazanin"/>
          <w:color w:val="000000" w:themeColor="text1"/>
          <w:sz w:val="22"/>
          <w:szCs w:val="22"/>
          <w:rtl/>
        </w:rPr>
        <w:t>اجراء و نظارت بر ارتقاي توانمندي هاي اعضاي هيات علمي در زمينه هاي مختلف آموزش علوم پزشكي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 و نظارت بر اجراي روش هاي نوين آموزشي و ارزشيابي براي توسعه و ارتقاي كيفيت آموزش دانشگاه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سازماندهي، اجراء ونظارت بر ارزشيابي اعضاي هيات علمي و فرايندهاي ياددهي</w:t>
      </w:r>
      <w:r w:rsidRPr="006F1B22">
        <w:rPr>
          <w:rFonts w:hint="cs"/>
          <w:color w:val="000000" w:themeColor="text1"/>
          <w:sz w:val="22"/>
          <w:szCs w:val="22"/>
          <w:rtl/>
        </w:rPr>
        <w:t>–</w:t>
      </w:r>
      <w:r w:rsidRPr="006F1B22">
        <w:rPr>
          <w:rFonts w:cs="B Nazanin"/>
          <w:color w:val="000000" w:themeColor="text1"/>
          <w:sz w:val="22"/>
          <w:szCs w:val="22"/>
          <w:rtl/>
        </w:rPr>
        <w:t xml:space="preserve"> </w:t>
      </w:r>
      <w:r w:rsidRPr="006F1B22">
        <w:rPr>
          <w:rFonts w:cs="B Nazanin" w:hint="cs"/>
          <w:color w:val="000000" w:themeColor="text1"/>
          <w:sz w:val="22"/>
          <w:szCs w:val="22"/>
          <w:rtl/>
        </w:rPr>
        <w:t>يادگيري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 و نظارت بر فرايندهاي ارزشيابي فراگيران و تحليل نتايج آزمون ها با هدف ارتقاي كيفي آزمونها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 و نظارت بر برنامه هاي آموزشي مراكز مهارت هاي باليني دانشگاه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سازماندهي و نظارت بر فرايند هاي شناسايي ، جذب و بهره وري استعدادهاي درخشان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هدايت، تصويب، تامين بودجه و نظارت بر اجراي طرح هاي پژوهش در آموزش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 و نظارت بر برنامه هاي آموزش از راه دور و الكترونيكي دانشگاه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هدايت، هماهنگي،تسهيل، نظارت و ارزيابي فعاليت هاي دانش پژوهي بر اساس آئين نامه مربوطه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نظارت بر عملكرد و هماهنگ نمودن فعاليت هاي دفاتر توسعه آموزش تابعه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ارائه مشاوره در خصوص مسائل آموزشي دانشگاه به مراجع ذيربط</w:t>
      </w:r>
    </w:p>
    <w:p w:rsidR="006F1B22" w:rsidRP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ارائه مشاوره در طراحي و ارزشيابي برنامه هاي آموزش مداوم دانشگاه</w:t>
      </w:r>
    </w:p>
    <w:p w:rsidR="006F1B22" w:rsidRDefault="006F1B22" w:rsidP="006F1B22">
      <w:pPr>
        <w:pStyle w:val="text-align-justify"/>
        <w:numPr>
          <w:ilvl w:val="0"/>
          <w:numId w:val="1"/>
        </w:numPr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شركت درجلسات ، شوراها و كميته ها بر اساس ضوابط و مقررات</w:t>
      </w:r>
    </w:p>
    <w:p w:rsidR="006F1B22" w:rsidRPr="00635D67" w:rsidRDefault="006F1B22" w:rsidP="006F1B22">
      <w:pPr>
        <w:pStyle w:val="text-align-justify"/>
        <w:bidi/>
        <w:jc w:val="both"/>
        <w:rPr>
          <w:rFonts w:cs="B Titr"/>
          <w:color w:val="800000"/>
        </w:rPr>
      </w:pPr>
      <w:r w:rsidRPr="00635D67">
        <w:rPr>
          <w:rStyle w:val="Strong"/>
          <w:rFonts w:cs="B Titr"/>
          <w:color w:val="800000"/>
          <w:rtl/>
        </w:rPr>
        <w:t>مأموریت مرکز</w:t>
      </w:r>
      <w:r w:rsidRPr="00635D67">
        <w:rPr>
          <w:rStyle w:val="Strong"/>
          <w:rFonts w:cs="B Titr"/>
          <w:color w:val="800000"/>
        </w:rPr>
        <w:t>:</w:t>
      </w:r>
    </w:p>
    <w:p w:rsidR="006F1B22" w:rsidRDefault="006F1B22" w:rsidP="006F1B22">
      <w:pPr>
        <w:pStyle w:val="text-align-justify"/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ماموریت مرکز مطالعات و توسعه آموزش</w:t>
      </w:r>
      <w:bookmarkStart w:id="0" w:name="_GoBack"/>
      <w:bookmarkEnd w:id="0"/>
      <w:r w:rsidRPr="006F1B22">
        <w:rPr>
          <w:rFonts w:cs="B Nazanin"/>
          <w:color w:val="000000" w:themeColor="text1"/>
          <w:sz w:val="22"/>
          <w:szCs w:val="22"/>
          <w:rtl/>
        </w:rPr>
        <w:t xml:space="preserve"> پزشکی دانشگاه علوم پزشکی اصفهان، به عنوان زیرمجموعه حوزه معاونت آموزشی دانشگاه، پشتیبانی علمی و فنی از هدایت، برنامه ریزی و نظارت بر جهت گیری فعالیت های آموزشی دانشگاه می باشد. همچنین، این مرکز متولی آموزش اساتید، ارزشیابی برنامه های آموزشی و ارائه دوره های کارشناسی ارشد آموزش پزشکی، دکترای تخصصی آموزش پزشکی و دروس مرتبط با آموزش پزشکی در دوره های تحصیلات تکمیلی دانشگاه می باشد. احترام به ارزش های اسلامی انسانی، توجه به نیازهای مشتریان و پاسخگو بودن در برابر آنها، و پایبندی به اصول علمی و نظام مندی در کلیه فعالیت ها، ارزش های حاکم بر این مرکز می باشند</w:t>
      </w:r>
      <w:r w:rsidRPr="006F1B22">
        <w:rPr>
          <w:rFonts w:cs="B Nazanin"/>
          <w:color w:val="000000" w:themeColor="text1"/>
          <w:sz w:val="22"/>
          <w:szCs w:val="22"/>
        </w:rPr>
        <w:t>.</w:t>
      </w:r>
    </w:p>
    <w:p w:rsidR="006F1B22" w:rsidRPr="00635D67" w:rsidRDefault="006F1B22" w:rsidP="006F1B22">
      <w:pPr>
        <w:pStyle w:val="text-align-justify"/>
        <w:bidi/>
        <w:jc w:val="both"/>
        <w:rPr>
          <w:rFonts w:cs="B Titr"/>
          <w:color w:val="800000"/>
        </w:rPr>
      </w:pPr>
      <w:r w:rsidRPr="00635D67">
        <w:rPr>
          <w:rStyle w:val="Strong"/>
          <w:rFonts w:cs="B Titr"/>
          <w:color w:val="800000"/>
          <w:rtl/>
        </w:rPr>
        <w:t>چشم انداز مرکز</w:t>
      </w:r>
      <w:r w:rsidRPr="00635D67">
        <w:rPr>
          <w:rStyle w:val="Strong"/>
          <w:rFonts w:cs="B Titr"/>
          <w:color w:val="800000"/>
        </w:rPr>
        <w:t>:</w:t>
      </w:r>
    </w:p>
    <w:p w:rsidR="006F1B22" w:rsidRDefault="006F1B22" w:rsidP="006F1B22">
      <w:pPr>
        <w:pStyle w:val="text-align-justify"/>
        <w:bidi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مرکز مطالعات و توسعه آموزش پزشکی دانشگاه علوم پزشکی اصفهان به عنوان نمونه بارزی از تحقق اصول علمی آموزش پزشکی و ارزش های نظام مقدس جمهوری اسلامی ایران در یک مجموعه سازمانی دانشگاهی قابل عرضه خواهد بود</w:t>
      </w:r>
      <w:r w:rsidRPr="006F1B22">
        <w:rPr>
          <w:rFonts w:cs="B Nazanin"/>
          <w:color w:val="000000" w:themeColor="text1"/>
          <w:sz w:val="22"/>
          <w:szCs w:val="22"/>
        </w:rPr>
        <w:t>.</w:t>
      </w:r>
    </w:p>
    <w:p w:rsidR="006F1B22" w:rsidRPr="00635D67" w:rsidRDefault="006F1B22" w:rsidP="006F1B22">
      <w:pPr>
        <w:pStyle w:val="text-align-justify"/>
        <w:bidi/>
        <w:jc w:val="both"/>
        <w:rPr>
          <w:rFonts w:cs="B Titr"/>
          <w:color w:val="800000"/>
        </w:rPr>
      </w:pPr>
      <w:r w:rsidRPr="00635D67">
        <w:rPr>
          <w:rStyle w:val="Strong"/>
          <w:rFonts w:cs="B Titr"/>
          <w:color w:val="800000"/>
          <w:rtl/>
        </w:rPr>
        <w:t>اهداف بلند مدت</w:t>
      </w:r>
      <w:r w:rsidRPr="00635D67">
        <w:rPr>
          <w:rStyle w:val="Strong"/>
          <w:rFonts w:cs="B Titr"/>
          <w:color w:val="800000"/>
        </w:rPr>
        <w:t>:</w:t>
      </w:r>
    </w:p>
    <w:p w:rsidR="006F1B22" w:rsidRPr="006F1B22" w:rsidRDefault="006F1B22" w:rsidP="006F1B22">
      <w:pPr>
        <w:pStyle w:val="text-align-justify"/>
        <w:numPr>
          <w:ilvl w:val="0"/>
          <w:numId w:val="4"/>
        </w:numPr>
        <w:bidi/>
        <w:ind w:left="270" w:right="-90" w:hanging="270"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کمک به معاونت آموزشی دانشگاه در هماهنگ سازی فعالیت واحدهای آموزشی دانشگاه با سایر فعالیت ها برای پاسخ به نیازهای کلان جامعه</w:t>
      </w:r>
    </w:p>
    <w:p w:rsidR="006F1B22" w:rsidRPr="006F1B22" w:rsidRDefault="006F1B22" w:rsidP="006F1B22">
      <w:pPr>
        <w:pStyle w:val="text-align-justify"/>
        <w:numPr>
          <w:ilvl w:val="0"/>
          <w:numId w:val="4"/>
        </w:numPr>
        <w:bidi/>
        <w:ind w:left="270" w:right="-90" w:hanging="270"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تأمین نیروی انسانی آموزش دیده در زمینه آموزش علوم پزشکی برای برآورد نیاز</w:t>
      </w:r>
      <w:r w:rsidRPr="006F1B22">
        <w:rPr>
          <w:rFonts w:ascii="Cambria" w:hAnsi="Cambria" w:cs="Cambria" w:hint="cs"/>
          <w:color w:val="000000" w:themeColor="text1"/>
          <w:sz w:val="22"/>
          <w:szCs w:val="22"/>
          <w:rtl/>
        </w:rPr>
        <w:t> </w:t>
      </w:r>
      <w:r w:rsidRPr="006F1B22">
        <w:rPr>
          <w:rFonts w:cs="B Nazanin"/>
          <w:color w:val="000000" w:themeColor="text1"/>
          <w:sz w:val="22"/>
          <w:szCs w:val="22"/>
          <w:rtl/>
        </w:rPr>
        <w:t xml:space="preserve"> مراکز توسعه و دانشگاه های علوم پزشکی کشور</w:t>
      </w:r>
    </w:p>
    <w:p w:rsidR="006F1B22" w:rsidRPr="006F1B22" w:rsidRDefault="006F1B22" w:rsidP="006F1B22">
      <w:pPr>
        <w:pStyle w:val="text-align-justify"/>
        <w:numPr>
          <w:ilvl w:val="0"/>
          <w:numId w:val="4"/>
        </w:numPr>
        <w:bidi/>
        <w:ind w:left="270" w:right="-90" w:hanging="270"/>
        <w:jc w:val="both"/>
        <w:rPr>
          <w:rFonts w:cs="B Nazanin"/>
          <w:color w:val="000000" w:themeColor="text1"/>
          <w:sz w:val="22"/>
          <w:szCs w:val="22"/>
        </w:rPr>
      </w:pPr>
      <w:r w:rsidRPr="006F1B22">
        <w:rPr>
          <w:rFonts w:cs="B Nazanin"/>
          <w:color w:val="000000" w:themeColor="text1"/>
          <w:sz w:val="22"/>
          <w:szCs w:val="22"/>
          <w:rtl/>
        </w:rPr>
        <w:t>کمک به نظریه پردازی در زمینه آموزش علوم پزشکی و تدوین مبانی نظری نظام اسلامی ایرانی در آموزش علوم پزشکي</w:t>
      </w:r>
    </w:p>
    <w:p w:rsidR="00AC1FE5" w:rsidRPr="006F1B22" w:rsidRDefault="00AC1FE5" w:rsidP="006F1B22">
      <w:pPr>
        <w:bidi/>
        <w:jc w:val="both"/>
        <w:rPr>
          <w:rFonts w:cs="B Nazanin"/>
          <w:b/>
          <w:bCs/>
          <w:color w:val="000000" w:themeColor="text1"/>
        </w:rPr>
      </w:pPr>
    </w:p>
    <w:sectPr w:rsidR="00AC1FE5" w:rsidRPr="006F1B22" w:rsidSect="006F1B22">
      <w:pgSz w:w="12240" w:h="15840"/>
      <w:pgMar w:top="1170" w:right="1440" w:bottom="810" w:left="1440" w:header="720" w:footer="720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F7260"/>
    <w:multiLevelType w:val="hybridMultilevel"/>
    <w:tmpl w:val="5EAAF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214FC"/>
    <w:multiLevelType w:val="hybridMultilevel"/>
    <w:tmpl w:val="E6ECAE5C"/>
    <w:lvl w:ilvl="0" w:tplc="D5603EF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85FDE"/>
    <w:multiLevelType w:val="hybridMultilevel"/>
    <w:tmpl w:val="1AC66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1323B"/>
    <w:multiLevelType w:val="hybridMultilevel"/>
    <w:tmpl w:val="9AA2D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87AC7"/>
    <w:multiLevelType w:val="hybridMultilevel"/>
    <w:tmpl w:val="0E344B8E"/>
    <w:lvl w:ilvl="0" w:tplc="7E60B4EA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4D"/>
    <w:rsid w:val="00265D4D"/>
    <w:rsid w:val="00635D67"/>
    <w:rsid w:val="006F1B22"/>
    <w:rsid w:val="00A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A15CF-3D5C-4C2C-87AA-7C27FEE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F1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5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D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B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6F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83D8-C162-4BCD-B5D5-FFAF9D82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</dc:creator>
  <cp:keywords/>
  <dc:description/>
  <cp:lastModifiedBy>Mehrdad</cp:lastModifiedBy>
  <cp:revision>5</cp:revision>
  <dcterms:created xsi:type="dcterms:W3CDTF">2020-12-22T05:39:00Z</dcterms:created>
  <dcterms:modified xsi:type="dcterms:W3CDTF">2020-12-22T05:54:00Z</dcterms:modified>
</cp:coreProperties>
</file>